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BD" w:rsidRDefault="009C53BD" w:rsidP="009C53B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Пояснительная записка к учебному плану</w:t>
      </w:r>
    </w:p>
    <w:p w:rsidR="009C53BD" w:rsidRDefault="009C53BD" w:rsidP="009C53BD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Муниципального бюджетного</w:t>
      </w:r>
    </w:p>
    <w:p w:rsidR="009C53BD" w:rsidRDefault="009C53BD" w:rsidP="009C53B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дошкольного образовательного учреждения</w:t>
      </w:r>
    </w:p>
    <w:p w:rsidR="009C53BD" w:rsidRDefault="009C53BD" w:rsidP="009C53BD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«Детский сад общеразвивающего вида № 6»</w:t>
      </w:r>
    </w:p>
    <w:p w:rsidR="009C53BD" w:rsidRDefault="009C53BD" w:rsidP="009C53BD">
      <w:pPr>
        <w:pStyle w:val="a5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села Грушевое Дальнереченского городского округа</w:t>
      </w:r>
    </w:p>
    <w:p w:rsidR="009C53BD" w:rsidRDefault="009C53BD" w:rsidP="009C53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C53BD" w:rsidRDefault="009C53BD" w:rsidP="009C53BD">
      <w:pPr>
        <w:pStyle w:val="a5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образовательное учреждение «Детский сад общеразвивающего вида  № 6» села Грушевое Дальнереченского городского округа  является образовательным учреждением и 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 Т.С.Комаровой,  А.М.Васильевой  (2014г.). Методическое обеспечение основных программ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9C53BD" w:rsidRDefault="009C53BD" w:rsidP="009C53BD">
      <w:pPr>
        <w:pStyle w:val="a5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МБДОУ «Детский сад № 6»  на учебный год разработан  в соответствии: 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от 29.12.2012г. № 273-ФЗ «Об образовании в Российской Федерации»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 в дошкольных образовательных учреждениях», от 29.05.2013г.; Регистрационный номер 28564.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17.10.2013 № 1155  «Об утверждении  федерального государственного образовательного  стандарта   дошкольного образования».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 образовательным программам дошкольного образования»;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основной общеобразовательной программой 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( 2014г. )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lastRenderedPageBreak/>
        <w:t>   </w:t>
      </w:r>
      <w:r>
        <w:rPr>
          <w:sz w:val="28"/>
          <w:szCs w:val="28"/>
        </w:rPr>
        <w:t>Учебный план МБДОУ «Детский сад № 6» на 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Образовательная деятельность 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 с  взрослыми и сверстниками и соответствующим возрасту видам деятельности.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Учебный год начинается с 1 сентября и заканчивается 31 мая. 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работает в режиме пятидневной рабочей недели.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дня соответствует возрастным особенностям детей  и условиям образовательной организации.  </w:t>
      </w:r>
    </w:p>
    <w:p w:rsidR="009C53BD" w:rsidRDefault="009C53BD" w:rsidP="009C53B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функционируют 2 группы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9C53BD" w:rsidRDefault="009C53BD" w:rsidP="009C53B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разновозрастная (с 1,5 – 4  )</w:t>
      </w:r>
    </w:p>
    <w:p w:rsidR="009C53BD" w:rsidRDefault="009C53BD" w:rsidP="009C53B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старшая разновозрастная группа (с 4 – 7 )</w:t>
      </w:r>
    </w:p>
    <w:p w:rsidR="009C53BD" w:rsidRDefault="009C53BD" w:rsidP="009C53BD">
      <w:pPr>
        <w:pStyle w:val="a5"/>
        <w:ind w:firstLine="567"/>
        <w:jc w:val="both"/>
        <w:rPr>
          <w:rStyle w:val="a4"/>
          <w:b w:val="0"/>
          <w:bCs w:val="0"/>
        </w:rPr>
      </w:pPr>
      <w:r>
        <w:t> </w:t>
      </w:r>
      <w:r>
        <w:rPr>
          <w:sz w:val="28"/>
          <w:szCs w:val="28"/>
        </w:rPr>
        <w:t xml:space="preserve">Организованная образовательная деятельность в каждой возрастной группе не превышает допустимые нормы. 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В ДОУ создана  предметно-развивающая среда, где дети могут удовлетворять свои потребности в самых разнообразных видах деятельности:  продуктивной, творческой, индивидуальной.</w:t>
      </w:r>
    </w:p>
    <w:p w:rsidR="009C53BD" w:rsidRDefault="009C53BD" w:rsidP="009C53BD">
      <w:pPr>
        <w:pStyle w:val="a5"/>
        <w:ind w:firstLine="567"/>
        <w:jc w:val="both"/>
      </w:pPr>
      <w:r>
        <w:rPr>
          <w:sz w:val="28"/>
          <w:szCs w:val="28"/>
        </w:rPr>
        <w:t xml:space="preserve">Основное содержание работы по учебному  плану – развитие дошкольника в условиях интеграции  воспитательно-образовательного процесса  в: </w:t>
      </w:r>
    </w:p>
    <w:p w:rsidR="009C53BD" w:rsidRDefault="009C53BD" w:rsidP="009C53BD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образовательной деятельности с детьми;</w:t>
      </w:r>
    </w:p>
    <w:p w:rsidR="009C53BD" w:rsidRDefault="009C53BD" w:rsidP="009C53BD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с детьми, осуществляемой в ходе режимных моментов;</w:t>
      </w:r>
    </w:p>
    <w:p w:rsidR="009C53BD" w:rsidRDefault="009C53BD" w:rsidP="009C53BD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детской деятельности.</w:t>
      </w:r>
    </w:p>
    <w:p w:rsidR="009C53BD" w:rsidRDefault="009C53BD" w:rsidP="009C53BD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(познание);</w:t>
      </w:r>
    </w:p>
    <w:p w:rsidR="009C53BD" w:rsidRDefault="009C53BD" w:rsidP="009C53BD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(социализация; труд, безопасность);</w:t>
      </w:r>
    </w:p>
    <w:p w:rsidR="009C53BD" w:rsidRDefault="009545D7" w:rsidP="009C53BD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художественно–</w:t>
      </w:r>
      <w:r w:rsidR="009C53BD">
        <w:rPr>
          <w:rStyle w:val="a4"/>
          <w:sz w:val="28"/>
          <w:szCs w:val="28"/>
        </w:rPr>
        <w:t>эстетическое развитие</w:t>
      </w:r>
      <w:r w:rsidR="009C53BD">
        <w:rPr>
          <w:rFonts w:ascii="Times New Roman" w:hAnsi="Times New Roman" w:cs="Times New Roman"/>
          <w:sz w:val="28"/>
          <w:szCs w:val="28"/>
        </w:rPr>
        <w:t xml:space="preserve"> (музыка, художественное творчество);</w:t>
      </w:r>
    </w:p>
    <w:p w:rsidR="009C53BD" w:rsidRDefault="009C53BD" w:rsidP="009C53BD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(физическая культура, здоровье).</w:t>
      </w:r>
    </w:p>
    <w:p w:rsidR="009C53BD" w:rsidRDefault="009C53BD" w:rsidP="009C53BD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речевое развитие </w:t>
      </w:r>
      <w:r>
        <w:rPr>
          <w:rStyle w:val="a4"/>
          <w:b w:val="0"/>
          <w:bCs w:val="0"/>
          <w:sz w:val="28"/>
          <w:szCs w:val="28"/>
        </w:rPr>
        <w:t>(развитие речи и чтение художественной литературы).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>
        <w:rPr>
          <w:rStyle w:val="a3"/>
          <w:rFonts w:eastAsia="DejaVu Sans"/>
          <w:b/>
          <w:bCs/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4"/>
          <w:sz w:val="28"/>
          <w:szCs w:val="28"/>
        </w:rPr>
        <w:t xml:space="preserve">Образовательная область «Социально-коммуникативное развитие»: </w:t>
      </w:r>
      <w:r>
        <w:rPr>
          <w:sz w:val="28"/>
          <w:szCs w:val="28"/>
        </w:rPr>
        <w:t>  социализация,  развитие общения, нравственное воспитание; ребенок в семье и обществе;  самообслуживание,  самостоятельность, трудовое воспитание; формирование основ безопасности.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 </w:t>
      </w:r>
      <w:r>
        <w:rPr>
          <w:rStyle w:val="a4"/>
          <w:sz w:val="28"/>
          <w:szCs w:val="28"/>
        </w:rPr>
        <w:t>Образовательная область «Познавательное развитие»</w:t>
      </w:r>
      <w:r>
        <w:rPr>
          <w:sz w:val="28"/>
          <w:szCs w:val="28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Style w:val="a4"/>
          <w:sz w:val="28"/>
          <w:szCs w:val="28"/>
        </w:rPr>
        <w:t xml:space="preserve">. Образовательная область «Речевое  развитие»: </w:t>
      </w:r>
      <w:r>
        <w:rPr>
          <w:sz w:val="28"/>
          <w:szCs w:val="28"/>
        </w:rPr>
        <w:t>развитие речи; художественная литература.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. Образовательная область «Художественно-эстетическое развитие»: </w:t>
      </w:r>
      <w:r>
        <w:rPr>
          <w:sz w:val="28"/>
          <w:szCs w:val="28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Style w:val="a4"/>
          <w:sz w:val="28"/>
          <w:szCs w:val="28"/>
        </w:rPr>
        <w:t xml:space="preserve">. Образовательная область «Физическое развитие»: </w:t>
      </w:r>
      <w:r>
        <w:rPr>
          <w:sz w:val="28"/>
          <w:szCs w:val="28"/>
        </w:rPr>
        <w:t>формирование начальных представлений о здоровом образе жизни; физическая культура</w:t>
      </w:r>
    </w:p>
    <w:p w:rsidR="009C53BD" w:rsidRDefault="009C53BD" w:rsidP="009C53BD">
      <w:pPr>
        <w:pStyle w:val="a5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              </w:t>
      </w:r>
      <w:r>
        <w:rPr>
          <w:sz w:val="28"/>
          <w:szCs w:val="28"/>
        </w:rPr>
        <w:t>Организация  воспитательно</w:t>
      </w:r>
      <w:r w:rsidR="009545D7">
        <w:rPr>
          <w:sz w:val="28"/>
          <w:szCs w:val="28"/>
        </w:rPr>
        <w:t>-</w:t>
      </w:r>
      <w:r>
        <w:rPr>
          <w:sz w:val="28"/>
          <w:szCs w:val="28"/>
        </w:rPr>
        <w:t xml:space="preserve">образовательного процесса педагогами обеспечивается единством воспитательных, развивающих и обучающих целей и задач. Построение образовательного процесса на комплексно-тематическом принципе с учётом интеграции образовательных областей даёт возможность достичь поставленных целей и задач. Построение всего образовательного процесса вокруг одной темы даёт возможности для развития детей. У дошкольников появляются возможности для практики, экспериментирования, развития основных навыков. Тематический принцип построения образовательного процесса позволяет вводить региональные и культурные компоненты. 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педагогического процесса основное образовательное содержание «Программы» педагоги осуществляют в повседневной жизни, в совместной с детьми деятельности, главной из которых является игра. Воспитатель наполняет повседневную жизнь детей интересной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деятельностью, проблемами, идеями, включая каждого ребёнка в содержательную деятельность.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процесс включает непосредственно образовательную деятельность (далее НОД), которая проводится с 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сентября по 31 мая. В середине учебного года (с 1 января по 10 января) организуются каникулы. В летний период образовательная деятельность не проводится, увеличивается продолжительность прогулок с организацией и проведением подвижных и спортивных игр, праздников, развлечений.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и средних группах проводится не более двух НОД в день, в старшей - подготовительной группах не более трёх с перерывом 10 минут. В середине НОД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представляет собой комплекс мероприятий, направленных на укрепление здоровья детей.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место в этом комплексе занимает режим дня, максимальное пребывание детей на свежем воздухе (утренний приём, гимнастика, НОД, физкультурные досуги, развлечения), соответствующая возрасту продолжительность сна. 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летнего оздоровительного периода осуществляются различные виды закаливания: воздушные и солнечные ванны, закаливание водой (умывание прохладной водой, полоскание рта водой после еды, мытье ног перед сном),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 проводят на прогулке индивидуальную работу с детьми по развитию основных видов движений,  а также  беседы по предупреждению бытового и дорожного травматизма.</w:t>
      </w:r>
    </w:p>
    <w:p w:rsidR="009C53BD" w:rsidRDefault="009C53BD" w:rsidP="009C53BD">
      <w:pPr>
        <w:ind w:left="36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Важную помощь в организации образовательного  процесса оказывает педагог – психолог. При организации работы с детьми, родителями и воспитателями он учитывает программу детского сада и помогает реализовать ее с учетом возрастных и индивидуальных особенностей ребенка, его психологического возраста , личностных качеств, уровня профессиональной квалификации педагогов и специфики семейного воспитания.</w:t>
      </w: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</w:t>
      </w: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Особое место отводится работе с детьми, имеющими трудности в обучении, эмоциональном развитии. </w:t>
      </w:r>
      <w:r>
        <w:rPr>
          <w:rFonts w:ascii="Times New Roman" w:hAnsi="Times New Roman" w:cs="Times New Roman"/>
          <w:sz w:val="28"/>
          <w:szCs w:val="28"/>
        </w:rPr>
        <w:t xml:space="preserve">Для них проводятся специальные  индивидуальные и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групповые занятия.</w:t>
      </w:r>
    </w:p>
    <w:p w:rsidR="009C53BD" w:rsidRDefault="009C53BD" w:rsidP="009C53BD">
      <w:pPr>
        <w:pStyle w:val="a6"/>
        <w:ind w:firstLine="567"/>
        <w:jc w:val="both"/>
        <w:rPr>
          <w:rFonts w:ascii="Calibri" w:hAnsi="Calibri" w:cs="Calibri"/>
          <w:b/>
          <w:bCs/>
        </w:rPr>
      </w:pP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воспитательно-образовательная работа проводится в совместной деятельности взрослых и детей при организации экспериментально-исследовательской деятельности, самостоятельной, в различных видах игры, наблюдениях, развлечениях.</w:t>
      </w: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</w:t>
      </w: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 </w:t>
      </w:r>
    </w:p>
    <w:p w:rsidR="009C53BD" w:rsidRDefault="009C53BD" w:rsidP="009C53B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C53BD" w:rsidRDefault="009C53BD" w:rsidP="009C53BD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BD" w:rsidRDefault="009C53BD" w:rsidP="009C53BD">
      <w:pPr>
        <w:pStyle w:val="a5"/>
        <w:ind w:firstLine="567"/>
        <w:jc w:val="both"/>
        <w:rPr>
          <w:sz w:val="28"/>
          <w:szCs w:val="28"/>
        </w:rPr>
      </w:pPr>
    </w:p>
    <w:p w:rsidR="009C53BD" w:rsidRDefault="009C53BD" w:rsidP="009C53BD">
      <w:pPr>
        <w:ind w:firstLine="567"/>
        <w:jc w:val="both"/>
        <w:rPr>
          <w:rFonts w:cs="Times New Roman"/>
          <w:sz w:val="24"/>
          <w:szCs w:val="24"/>
        </w:rPr>
      </w:pPr>
    </w:p>
    <w:p w:rsidR="00831FC6" w:rsidRDefault="00831FC6" w:rsidP="009C53BD">
      <w:pPr>
        <w:jc w:val="both"/>
      </w:pPr>
    </w:p>
    <w:sectPr w:rsidR="0083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8FB"/>
    <w:multiLevelType w:val="multilevel"/>
    <w:tmpl w:val="32F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EC729D"/>
    <w:multiLevelType w:val="multilevel"/>
    <w:tmpl w:val="89D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C53BD"/>
    <w:rsid w:val="00831FC6"/>
    <w:rsid w:val="009545D7"/>
    <w:rsid w:val="009C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C53BD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9C53B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9C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C53BD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9C53BD"/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Димасик</cp:lastModifiedBy>
  <cp:revision>7</cp:revision>
  <dcterms:created xsi:type="dcterms:W3CDTF">2017-05-16T09:51:00Z</dcterms:created>
  <dcterms:modified xsi:type="dcterms:W3CDTF">2017-05-16T09:53:00Z</dcterms:modified>
</cp:coreProperties>
</file>